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5D47" w14:textId="77777777" w:rsidR="00416809" w:rsidRDefault="00416809" w:rsidP="00416809">
      <w:r>
        <w:t xml:space="preserve">### </w:t>
      </w:r>
      <w:r>
        <w:rPr>
          <w:rFonts w:ascii="Apple Color Emoji" w:hAnsi="Apple Color Emoji" w:cs="Apple Color Emoji"/>
        </w:rPr>
        <w:t>📋</w:t>
      </w:r>
      <w:r>
        <w:t xml:space="preserve"> Industry Benchmarks vs. Assumptions in </w:t>
      </w:r>
      <w:proofErr w:type="spellStart"/>
      <w:r>
        <w:t>NUTRISYNC</w:t>
      </w:r>
      <w:proofErr w:type="spellEnd"/>
      <w:r>
        <w:t xml:space="preserve"> FINANCIALS PERIOD_2.xlsx</w:t>
      </w:r>
    </w:p>
    <w:p w14:paraId="171018B4" w14:textId="77777777" w:rsidR="00416809" w:rsidRDefault="00416809" w:rsidP="00416809">
      <w:r>
        <w:t>Based on a thorough review of the financial model, here is an industry validation of your core metrics, along with an assessment of the strategic implications.</w:t>
      </w:r>
    </w:p>
    <w:p w14:paraId="5F9075CC" w14:textId="77777777" w:rsidR="00416809" w:rsidRDefault="00416809" w:rsidP="00416809">
      <w:r>
        <w:t>#### 1. Retention &amp; Churn Rates</w:t>
      </w:r>
    </w:p>
    <w:p w14:paraId="44040D18" w14:textId="77777777" w:rsidR="00416809" w:rsidRDefault="00416809" w:rsidP="00416809">
      <w:r>
        <w:t>The model assumes a baseline monthly B2C churn of 10% in the conservative scenario, dropping to 7% in Year 2.</w:t>
      </w:r>
    </w:p>
    <w:p w14:paraId="6A772077" w14:textId="77777777" w:rsidR="00416809" w:rsidRDefault="00416809" w:rsidP="00416809">
      <w:r>
        <w:t xml:space="preserve"> * **Industry Validation:** Scientific literature indicates that health and fitness apps experience steep initial abandonment rates. A recent scoping review found that a median of 70% of users discontinue lifestyle and mental health apps within the first 100 days, and industry data confirms that 66% of health apps are abandoned within 90 days (Kidman et al., 2024).</w:t>
      </w:r>
    </w:p>
    <w:p w14:paraId="772571C2" w14:textId="77777777" w:rsidR="00416809" w:rsidRDefault="00416809" w:rsidP="00416809">
      <w:r>
        <w:t xml:space="preserve"> * **Assessment:** Your 10% monthly churn assumption is actually an optimistic case for a brand-new Year 1 app. Compounding a 10% monthly churn over 12 months means losing roughly 72% of acquired cohorts by year's end. A true downside stress-test should increase this base churn rate to at least 12–15%.</w:t>
      </w:r>
    </w:p>
    <w:p w14:paraId="728A1B55" w14:textId="77777777" w:rsidR="00416809" w:rsidRDefault="00416809" w:rsidP="00416809">
      <w:r>
        <w:t>#### 2. Free-to-Paid Conversion</w:t>
      </w:r>
    </w:p>
    <w:p w14:paraId="37476F76" w14:textId="77777777" w:rsidR="00416809" w:rsidRDefault="00416809" w:rsidP="00416809">
      <w:r>
        <w:t>The model applies a flat 18% monthly free-to-paid conversion rate across scenarios.</w:t>
      </w:r>
    </w:p>
    <w:p w14:paraId="4A8BC4C7" w14:textId="77777777" w:rsidR="00416809" w:rsidRDefault="00416809" w:rsidP="00416809">
      <w:r>
        <w:t xml:space="preserve"> * **Industry Validation:** The freemium business model typically yields extremely low conversion margins. Studies of SaaS and mobile app environments indicate that median free-to-paid conversion rates fall tightly between 2% and 5% (Kessler, n.d.). Other analyses of freemium mobile products confirm that reliance on a massive free user network is essential precisely because typical conversion rates hover around 2% to 7% (</w:t>
      </w:r>
      <w:proofErr w:type="spellStart"/>
      <w:r>
        <w:t>Shankarananda</w:t>
      </w:r>
      <w:proofErr w:type="spellEnd"/>
      <w:r>
        <w:t>, n.d.).</w:t>
      </w:r>
    </w:p>
    <w:p w14:paraId="6F08E7FF" w14:textId="77777777" w:rsidR="00416809" w:rsidRDefault="00416809" w:rsidP="00416809">
      <w:r>
        <w:t xml:space="preserve"> * **Assessment:** While high intent from waitlists can boost initial numbers, sustaining an 18% conversion rate is highly aggressive. Diligence analysts will immediately flag this assumption as an outlier compared to historical software SaaS baselines.</w:t>
      </w:r>
    </w:p>
    <w:p w14:paraId="43B91C72" w14:textId="77777777" w:rsidR="00416809" w:rsidRDefault="00416809" w:rsidP="00416809">
      <w:r>
        <w:t>#### 3. Wearable Integration and Retention</w:t>
      </w:r>
    </w:p>
    <w:p w14:paraId="2F85102A" w14:textId="77777777" w:rsidR="00416809" w:rsidRDefault="00416809" w:rsidP="00416809">
      <w:r>
        <w:t>Your assumption that wearable integration reduces base churn by 50% is a critical structural pillar of the financial model.</w:t>
      </w:r>
    </w:p>
    <w:p w14:paraId="1EC9F16D" w14:textId="77777777" w:rsidR="00416809" w:rsidRDefault="00416809" w:rsidP="00416809">
      <w:r>
        <w:t xml:space="preserve"> * **Industry Validation:** Research highlights that hybrid interventions—combining mobile apps with wearable devices—generally demonstrate better user engagement and long-term adherence compared to standalone apps (</w:t>
      </w:r>
      <w:proofErr w:type="spellStart"/>
      <w:r>
        <w:t>Lawi</w:t>
      </w:r>
      <w:proofErr w:type="spellEnd"/>
      <w:r>
        <w:t>, n.d.). The objective, continuous data collection provided by wearables increases motivation through constant feedback, solidifying the user habit loop (</w:t>
      </w:r>
      <w:proofErr w:type="spellStart"/>
      <w:r>
        <w:t>Lawi</w:t>
      </w:r>
      <w:proofErr w:type="spellEnd"/>
      <w:r>
        <w:t>, n.d.).</w:t>
      </w:r>
    </w:p>
    <w:p w14:paraId="443FB817" w14:textId="77777777" w:rsidR="00416809" w:rsidRDefault="00416809" w:rsidP="00416809">
      <w:r>
        <w:t xml:space="preserve"> * **Assessment:** This is a highly valid, structurally sound assumption. It successfully highlights your deep tech differentiation and serves as an excellent defensive talking point for your unit economics.</w:t>
      </w:r>
    </w:p>
    <w:p w14:paraId="5B862DDC" w14:textId="77777777" w:rsidR="00416809" w:rsidRDefault="00416809" w:rsidP="00416809">
      <w:r>
        <w:t>#### 4. App Store Fees</w:t>
      </w:r>
    </w:p>
    <w:p w14:paraId="459A3327" w14:textId="77777777" w:rsidR="00416809" w:rsidRDefault="00416809" w:rsidP="00416809">
      <w:r>
        <w:t>The model assumes a 30% standard app store fee that drops to 15% after €1M in annual B2C revenue is achieved.</w:t>
      </w:r>
    </w:p>
    <w:p w14:paraId="47A93E07" w14:textId="77777777" w:rsidR="00416809" w:rsidRDefault="00416809" w:rsidP="00416809">
      <w:r>
        <w:t xml:space="preserve"> * **Assessment:** This fee structure is </w:t>
      </w:r>
      <w:proofErr w:type="spellStart"/>
      <w:r>
        <w:t>modeled</w:t>
      </w:r>
      <w:proofErr w:type="spellEnd"/>
      <w:r>
        <w:t xml:space="preserve"> backward. The Apple Small Business Program provides the 15% fee from Day 1 on the first $1M of annual revenue. The fee only bumps up to 30% *after* you surpass that threshold. This means early-stage margins are better than shown, but the ambitious scenario crosses the $1M threshold in Year 3, creating a step-change where gross margin drops to 79%.</w:t>
      </w:r>
    </w:p>
    <w:p w14:paraId="42BD6ABC" w14:textId="77777777" w:rsidR="00416809" w:rsidRDefault="00416809" w:rsidP="00416809">
      <w:r>
        <w:t xml:space="preserve">### </w:t>
      </w:r>
      <w:r>
        <w:rPr>
          <w:rFonts w:ascii="Apple Color Emoji" w:hAnsi="Apple Color Emoji" w:cs="Apple Color Emoji"/>
        </w:rPr>
        <w:t>🧠</w:t>
      </w:r>
      <w:r>
        <w:t xml:space="preserve"> Strategic Assessment &amp; Pitch Advice</w:t>
      </w:r>
    </w:p>
    <w:p w14:paraId="77B4801E" w14:textId="77777777" w:rsidR="00416809" w:rsidRDefault="00416809" w:rsidP="00416809">
      <w:r>
        <w:t xml:space="preserve"> * **Capital Discipline is Your Strongest Asset:** Your Year 1 burn rate of approximately €147K proves exceptional capital discipline. By keeping founder stipends lean, your €350K pre-seed/seed ask provides a rock-solid runway that easily survives unexpected dry spells before reaching the M13 seed round.</w:t>
      </w:r>
    </w:p>
    <w:p w14:paraId="62A3E639" w14:textId="77777777" w:rsidR="00416809" w:rsidRDefault="00416809" w:rsidP="00416809">
      <w:r>
        <w:t xml:space="preserve"> * **Avoid the Paid Acquisition Trap:** Your LTV:CAC on the paid channel sits at 2.85× in the downside scenario, which is just under the 3.0× health threshold. Because paid social becomes highly marginal when real-world churn is factored in, you should lean heavily into your organic, clinical, and B2B corporate wellness channels. Do not position </w:t>
      </w:r>
      <w:proofErr w:type="spellStart"/>
      <w:r>
        <w:t>NutriSync</w:t>
      </w:r>
      <w:proofErr w:type="spellEnd"/>
      <w:r>
        <w:t xml:space="preserve"> as a performance-marketing-driven growth story.</w:t>
      </w:r>
    </w:p>
    <w:p w14:paraId="44C40521" w14:textId="77777777" w:rsidR="00416809" w:rsidRDefault="00416809" w:rsidP="00416809">
      <w:r>
        <w:t xml:space="preserve">### </w:t>
      </w:r>
      <w:r>
        <w:rPr>
          <w:rFonts w:ascii="Apple Color Emoji" w:hAnsi="Apple Color Emoji" w:cs="Apple Color Emoji"/>
        </w:rPr>
        <w:t>🛠️</w:t>
      </w:r>
      <w:r>
        <w:t xml:space="preserve"> Next Steps</w:t>
      </w:r>
    </w:p>
    <w:p w14:paraId="2F059676" w14:textId="77777777" w:rsidR="00416809" w:rsidRDefault="00416809" w:rsidP="00416809">
      <w:r>
        <w:t xml:space="preserve"> 1. **Re-label and Stress-Test:** Rename the current "Conservative" scenario to "Target/Base Case" and construct a true downside scenario testing 14% monthly churn and a 6% free-to-paid conversion rate. If your €350K ask survives that </w:t>
      </w:r>
      <w:proofErr w:type="spellStart"/>
      <w:r>
        <w:t>trainwreck</w:t>
      </w:r>
      <w:proofErr w:type="spellEnd"/>
      <w:r>
        <w:t>, your pitch is bulletproof.</w:t>
      </w:r>
    </w:p>
    <w:p w14:paraId="0469EDAF" w14:textId="77777777" w:rsidR="00416809" w:rsidRDefault="00416809" w:rsidP="00416809">
      <w:r>
        <w:t xml:space="preserve"> 2. **Add a Sensitivity Grid:** Institutional investors look for a sensitivity matrix (CAC × Churn → Breakeven Month) as it proves you understand exactly which levers break your business model.</w:t>
      </w:r>
    </w:p>
    <w:p w14:paraId="6ED00A9E" w14:textId="77777777" w:rsidR="00416809" w:rsidRDefault="00416809" w:rsidP="00416809">
      <w:r>
        <w:t xml:space="preserve"> 3. **Fix the Fee Logic:** Adjust the formula so the app store fee starts at 15% and increases to 30% only when cumulative annual B2C revenue crosses the $1M mark.</w:t>
      </w:r>
    </w:p>
    <w:p w14:paraId="3E344A82" w14:textId="77777777" w:rsidR="00416809" w:rsidRDefault="00416809" w:rsidP="00416809">
      <w:r>
        <w:t>### References</w:t>
      </w:r>
    </w:p>
    <w:p w14:paraId="771B217C" w14:textId="77777777" w:rsidR="00416809" w:rsidRDefault="00416809" w:rsidP="00416809">
      <w:r>
        <w:t>Kessler, N. (n.d.). Scaling a SaaS Business: The Role of Freemium Models in Converting Free Users to Paying Customers.</w:t>
      </w:r>
    </w:p>
    <w:p w14:paraId="66E07E17" w14:textId="77777777" w:rsidR="00416809" w:rsidRDefault="00416809" w:rsidP="00416809">
      <w:r>
        <w:t>Cited by: 0</w:t>
      </w:r>
    </w:p>
    <w:p w14:paraId="4D5235B6" w14:textId="77777777" w:rsidR="00416809" w:rsidRDefault="00416809" w:rsidP="00416809">
      <w:r>
        <w:t xml:space="preserve">Kidman, P. G., Curtis, R. G., Watson, A., &amp; Maher, C. A. (2024). When and Why Adults Abandon Lifestyle </w:t>
      </w:r>
      <w:proofErr w:type="spellStart"/>
      <w:r>
        <w:t>Behavior</w:t>
      </w:r>
      <w:proofErr w:type="spellEnd"/>
      <w:r>
        <w:t xml:space="preserve"> and Mental Health Mobile Apps: Scoping Review. *Journal of Medical Internet Research*, *26*, e56897. https://doi.org/10.2196/56897</w:t>
      </w:r>
    </w:p>
    <w:p w14:paraId="65E35C89" w14:textId="77777777" w:rsidR="00416809" w:rsidRDefault="00416809" w:rsidP="00416809">
      <w:r>
        <w:t>Cited by: 43</w:t>
      </w:r>
    </w:p>
    <w:p w14:paraId="5E61D04E" w14:textId="77777777" w:rsidR="00416809" w:rsidRDefault="00416809" w:rsidP="00416809">
      <w:proofErr w:type="spellStart"/>
      <w:r>
        <w:t>Lawi</w:t>
      </w:r>
      <w:proofErr w:type="spellEnd"/>
      <w:r>
        <w:t xml:space="preserve">, A. (n.d.). Integrating Mobile Apps and Wearables for Health </w:t>
      </w:r>
      <w:proofErr w:type="spellStart"/>
      <w:r>
        <w:t>Behavior</w:t>
      </w:r>
      <w:proofErr w:type="spellEnd"/>
      <w:r>
        <w:t xml:space="preserve"> Change: A Systematic Review.</w:t>
      </w:r>
    </w:p>
    <w:p w14:paraId="698126B0" w14:textId="77777777" w:rsidR="00416809" w:rsidRDefault="00416809" w:rsidP="00416809">
      <w:r>
        <w:t>Cited by: 0</w:t>
      </w:r>
    </w:p>
    <w:p w14:paraId="1AB60C6D" w14:textId="77777777" w:rsidR="00416809" w:rsidRDefault="00416809" w:rsidP="00416809">
      <w:proofErr w:type="spellStart"/>
      <w:r>
        <w:t>Shankarananda</w:t>
      </w:r>
      <w:proofErr w:type="spellEnd"/>
      <w:r>
        <w:t>, P. M. (n.d.). Signature redacted.</w:t>
      </w:r>
    </w:p>
    <w:p w14:paraId="5FFE482E" w14:textId="550766F2" w:rsidR="00416809" w:rsidRDefault="00416809">
      <w:r>
        <w:t>Cited by: 1</w:t>
      </w:r>
    </w:p>
    <w:sectPr w:rsidR="0041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09"/>
    <w:rsid w:val="000E3879"/>
    <w:rsid w:val="003178A0"/>
    <w:rsid w:val="00416809"/>
    <w:rsid w:val="00771BFC"/>
    <w:rsid w:val="00A5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FAEEF"/>
  <w15:chartTrackingRefBased/>
  <w15:docId w15:val="{A5404BE9-D96E-414E-B7CA-EE8BA343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CEBRIAN</dc:creator>
  <cp:keywords/>
  <dc:description/>
  <cp:lastModifiedBy>JUAN JOSE CEBRIAN</cp:lastModifiedBy>
  <cp:revision>2</cp:revision>
  <dcterms:created xsi:type="dcterms:W3CDTF">2026-06-12T05:51:00Z</dcterms:created>
  <dcterms:modified xsi:type="dcterms:W3CDTF">2026-06-12T05:51:00Z</dcterms:modified>
</cp:coreProperties>
</file>